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sz w:val="36"/>
          <w:szCs w:val="36"/>
        </w:rPr>
      </w:pPr>
      <w:r w:rsidDel="00000000" w:rsidR="00000000" w:rsidRPr="00000000">
        <w:rPr>
          <w:sz w:val="36"/>
          <w:szCs w:val="36"/>
          <w:rtl w:val="0"/>
        </w:rPr>
        <w:t xml:space="preserve">Excellence in Student Development Award</w:t>
      </w:r>
    </w:p>
    <w:p w:rsidR="00000000" w:rsidDel="00000000" w:rsidP="00000000" w:rsidRDefault="00000000" w:rsidRPr="00000000" w14:paraId="00000002">
      <w:pPr>
        <w:pStyle w:val="Heading1"/>
        <w:spacing w:after="0" w:before="0" w:lineRule="auto"/>
        <w:rPr>
          <w:color w:val="009999"/>
          <w:sz w:val="48"/>
          <w:szCs w:val="48"/>
        </w:rPr>
      </w:pPr>
      <w:r w:rsidDel="00000000" w:rsidR="00000000" w:rsidRPr="00000000">
        <w:rPr>
          <w:color w:val="009999"/>
          <w:sz w:val="48"/>
          <w:szCs w:val="48"/>
          <w:rtl w:val="0"/>
        </w:rPr>
        <w:t xml:space="preserve">Reassessment Report</w:t>
      </w:r>
    </w:p>
    <w:p w:rsidR="00000000" w:rsidDel="00000000" w:rsidP="00000000" w:rsidRDefault="00000000" w:rsidRPr="00000000" w14:paraId="00000003">
      <w:pPr>
        <w:tabs>
          <w:tab w:val="left" w:leader="none" w:pos="2024"/>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left" w:leader="none" w:pos="2024"/>
        </w:tabs>
        <w:rPr>
          <w:rFonts w:ascii="Arial" w:cs="Arial" w:eastAsia="Arial" w:hAnsi="Arial"/>
          <w:sz w:val="22"/>
          <w:szCs w:val="22"/>
        </w:rPr>
      </w:pP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5562"/>
        <w:tblGridChange w:id="0">
          <w:tblGrid>
            <w:gridCol w:w="3510"/>
            <w:gridCol w:w="5562"/>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sz w:val="22"/>
                <w:szCs w:val="22"/>
                <w:rtl w:val="0"/>
              </w:rPr>
              <w:t xml:space="preserve">School name: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06">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Lift Unity City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8">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bCs w:val="1"/>
                <w:sz w:val="22"/>
                <w:szCs w:val="22"/>
                <w:rtl w:val="0"/>
              </w:rPr>
              <w:t xml:space="preserve">School address and postcode:</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A">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Ormesby Road, Middlesborough, Cleveland, TS3 8RE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C">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bCs w:val="1"/>
                <w:sz w:val="22"/>
                <w:szCs w:val="22"/>
                <w:rtl w:val="0"/>
              </w:rPr>
              <w:t xml:space="preserve">School telephone:</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E">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01642 326262</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0">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bCs w:val="1"/>
                <w:sz w:val="22"/>
                <w:szCs w:val="22"/>
                <w:rtl w:val="0"/>
              </w:rPr>
              <w:t xml:space="preserve">School website:</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2">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www.liftunitycity.org</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4">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bCs w:val="1"/>
                <w:sz w:val="22"/>
                <w:szCs w:val="22"/>
                <w:rtl w:val="0"/>
              </w:rPr>
              <w:t xml:space="preserve">Principal:</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6">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Jill Gray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tabs>
                <w:tab w:val="left" w:leader="none" w:pos="2024"/>
              </w:tabs>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8">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9">
            <w:pPr>
              <w:tabs>
                <w:tab w:val="left" w:leader="none" w:pos="2024"/>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EPDA coordinator: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Claire Reid</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tabs>
                <w:tab w:val="left" w:leader="none" w:pos="2024"/>
              </w:tabs>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C">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D">
            <w:pPr>
              <w:tabs>
                <w:tab w:val="left" w:leader="none" w:pos="2024"/>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Award verifier: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Andy Taylor</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tabs>
                <w:tab w:val="left" w:leader="none" w:pos="2024"/>
              </w:tabs>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0">
            <w:pPr>
              <w:tabs>
                <w:tab w:val="left" w:leader="none" w:pos="2024"/>
              </w:tabs>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1">
            <w:pPr>
              <w:tabs>
                <w:tab w:val="left" w:leader="none" w:pos="2024"/>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 of reassessment: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202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 May 2026</w:t>
            </w:r>
          </w:p>
        </w:tc>
      </w:tr>
    </w:tbl>
    <w:p w:rsidR="00000000" w:rsidDel="00000000" w:rsidP="00000000" w:rsidRDefault="00000000" w:rsidRPr="00000000" w14:paraId="00000023">
      <w:pPr>
        <w:tabs>
          <w:tab w:val="left" w:leader="none" w:pos="2024"/>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Commentary on the mini-portfolio of evidence:</w:t>
      </w:r>
      <w:r w:rsidDel="00000000" w:rsidR="00000000" w:rsidRPr="00000000">
        <w:rPr>
          <w:rFonts w:ascii="Arial" w:cs="Arial" w:eastAsia="Arial" w:hAnsi="Arial"/>
          <w:color w:val="ffffff"/>
          <w:sz w:val="22"/>
          <w:szCs w:val="22"/>
          <w:rtl w:val="0"/>
        </w:rPr>
        <w:t xml:space="preserve"> </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tabs>
          <w:tab w:val="left" w:leader="none" w:pos="2024"/>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enrichment offer has been expanded for all students, with improved monitoring of participation and access to a wider range of experiences.</w:t>
      </w:r>
    </w:p>
    <w:p w:rsidR="00000000" w:rsidDel="00000000" w:rsidP="00000000" w:rsidRDefault="00000000" w:rsidRPr="00000000" w14:paraId="00000028">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development (PD) is enhanced through specialist external providers, stakeholder-informed planning, individual PD journals and a dedicated coaching model.</w:t>
      </w:r>
    </w:p>
    <w:p w:rsidR="00000000" w:rsidDel="00000000" w:rsidP="00000000" w:rsidRDefault="00000000" w:rsidRPr="00000000" w14:paraId="00000029">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school’s vision, values and character development priorities remain central to school life and are consistently promoted through displays, communication systems, rewards and the curriculum.</w:t>
      </w:r>
    </w:p>
    <w:p w:rsidR="00000000" w:rsidDel="00000000" w:rsidP="00000000" w:rsidRDefault="00000000" w:rsidRPr="00000000" w14:paraId="0000002A">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encouraged to demonstrate the school’s values through initiatives such as Characteristics Bingo, ClassCharts rewards and reflective PD journal activities linked to SMART target setting.</w:t>
      </w:r>
    </w:p>
    <w:p w:rsidR="00000000" w:rsidDel="00000000" w:rsidP="00000000" w:rsidRDefault="00000000" w:rsidRPr="00000000" w14:paraId="0000002B">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 continue to ensure that character development is embedded across the curriculum and wider school systems so that all students are well prepared to succeed beyond school.</w:t>
      </w:r>
    </w:p>
    <w:p w:rsidR="00000000" w:rsidDel="00000000" w:rsidP="00000000" w:rsidRDefault="00000000" w:rsidRPr="00000000" w14:paraId="0000002C">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personal development curriculum provides comprehensive coverage of relationships, health, citizenship, safeguarding, careers, financial literacy and British values. This is supported by specialist external providers and adapted to meet students’ changing needs.</w:t>
      </w:r>
    </w:p>
    <w:p w:rsidR="00000000" w:rsidDel="00000000" w:rsidP="00000000" w:rsidRDefault="00000000" w:rsidRPr="00000000" w14:paraId="0000002D">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 regularly evaluate students’ understanding and experiences through assessment, student voice and reflective PD activities.</w:t>
      </w:r>
    </w:p>
    <w:p w:rsidR="00000000" w:rsidDel="00000000" w:rsidP="00000000" w:rsidRDefault="00000000" w:rsidRPr="00000000" w14:paraId="0000002E">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 use robust systems to monitor behaviour, including incidents linked to protected characteristics and harmful behaviours, enabling timely intervention, targeted support and appropriate educational responses.</w:t>
      </w:r>
    </w:p>
    <w:p w:rsidR="00000000" w:rsidDel="00000000" w:rsidP="00000000" w:rsidRDefault="00000000" w:rsidRPr="00000000" w14:paraId="0000002F">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Specialist PSHEE content is delivered by subject specialists and external providers, enabling coaches to focus on pastoral support and mentoring.</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take part in a range of embedded social action and community projects, including annual litter picks, external provider-led initiatives with Youth Focus and local campaigning and fundraising activities.</w:t>
      </w:r>
    </w:p>
    <w:p w:rsidR="00000000" w:rsidDel="00000000" w:rsidP="00000000" w:rsidRDefault="00000000" w:rsidRPr="00000000" w14:paraId="00000035">
      <w:pPr>
        <w:keepNext w:val="0"/>
        <w:keepLines w:val="0"/>
        <w:pageBreakBefore w:val="0"/>
        <w:widowControl w:val="1"/>
        <w:numPr>
          <w:ilvl w:val="0"/>
          <w:numId w:val="5"/>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Whole-school enterprise and charity projects, such as the Christmas Fair, Gift Drive and Mission Christmas campaign, provide regular opportunities for students to support the local community and develop civic responsibility.</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tabs>
          <w:tab w:val="left" w:leader="none" w:pos="2024"/>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Commentary on the tour of the school:</w:t>
      </w:r>
      <w:r w:rsidDel="00000000" w:rsidR="00000000" w:rsidRPr="00000000">
        <w:rPr>
          <w:rFonts w:ascii="Arial" w:cs="Arial" w:eastAsia="Arial" w:hAnsi="Arial"/>
          <w:color w:val="ffffff"/>
          <w:sz w:val="22"/>
          <w:szCs w:val="22"/>
          <w:rtl w:val="0"/>
        </w:rPr>
        <w:t xml:space="preserve"> </w:t>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tabs>
          <w:tab w:val="left" w:leader="none" w:pos="2024"/>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numPr>
          <w:ilvl w:val="0"/>
          <w:numId w:val="8"/>
        </w:numPr>
        <w:pBdr>
          <w:top w:color="000000" w:space="1" w:sz="4" w:val="single"/>
          <w:left w:color="000000" w:space="4" w:sz="4" w:val="single"/>
          <w:bottom w:color="000000" w:space="1" w:sz="4" w:val="single"/>
          <w:right w:color="000000" w:space="4" w:sz="4" w:val="single"/>
        </w:pBdr>
        <w:ind w:left="360" w:hanging="360"/>
        <w:rPr>
          <w:sz w:val="22"/>
          <w:szCs w:val="22"/>
        </w:rPr>
      </w:pPr>
      <w:r w:rsidDel="00000000" w:rsidR="00000000" w:rsidRPr="00000000">
        <w:rPr>
          <w:rFonts w:ascii="Calibri" w:cs="Calibri" w:eastAsia="Calibri" w:hAnsi="Calibri"/>
          <w:sz w:val="22"/>
          <w:szCs w:val="22"/>
          <w:rtl w:val="0"/>
        </w:rPr>
        <w:t xml:space="preserve">The tour of the school evidenced a learning environment in which students thrive. Personal Development sessions led by PD coaches were observed at the start of the day. These sessions were purposeful, engaging and there was an exciting ‘buzz’ of active participation across the school. There was evidence of strong relationships between staff and students. </w:t>
      </w:r>
    </w:p>
    <w:p w:rsidR="00000000" w:rsidDel="00000000" w:rsidP="00000000" w:rsidRDefault="00000000" w:rsidRPr="00000000" w14:paraId="0000003C">
      <w:pPr>
        <w:keepNext w:val="0"/>
        <w:keepLines w:val="0"/>
        <w:pageBreakBefore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 explained how the PD programme is coherently planned to address gaps in students’ experiences and knowledge beyond school. The “Real Life, Real Stories” contextual studies were highlighted as an important feature, helping students engage with relevant real-world issues and experiences.</w:t>
      </w:r>
    </w:p>
    <w:p w:rsidR="00000000" w:rsidDel="00000000" w:rsidP="00000000" w:rsidRDefault="00000000" w:rsidRPr="00000000" w14:paraId="0000003D">
      <w:pPr>
        <w:keepNext w:val="0"/>
        <w:keepLines w:val="0"/>
        <w:pageBreakBefore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Ultimate Team Challenges were key aspect of the programme, supporting students to develop teamwork, resilience and wider character characteristics.</w:t>
      </w:r>
    </w:p>
    <w:p w:rsidR="00000000" w:rsidDel="00000000" w:rsidP="00000000" w:rsidRDefault="00000000" w:rsidRPr="00000000" w14:paraId="0000003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tabs>
          <w:tab w:val="left" w:leader="none" w:pos="2024"/>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b w:val="1"/>
          <w:bCs w:val="1"/>
          <w:color w:val="ffffff"/>
          <w:sz w:val="22"/>
          <w:szCs w:val="22"/>
        </w:rPr>
      </w:pPr>
      <w:r w:rsidDel="00000000" w:rsidR="00000000" w:rsidRPr="00000000">
        <w:rPr>
          <w:rFonts w:ascii="Arial" w:cs="Arial" w:eastAsia="Arial" w:hAnsi="Arial"/>
          <w:b w:val="1"/>
          <w:bCs w:val="1"/>
          <w:color w:val="ffffff"/>
          <w:sz w:val="22"/>
          <w:szCs w:val="22"/>
          <w:rtl w:val="0"/>
        </w:rPr>
        <w:t xml:space="preserve">Commentary on discussions with stakeholders:</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numPr>
          <w:ilvl w:val="0"/>
          <w:numId w:val="9"/>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Parents are really appreciative of a school which supports the development of the whole child. The work of the school to support the personal development of students was highlighted as a real strength.</w:t>
      </w:r>
      <w:r w:rsidDel="00000000" w:rsidR="00000000" w:rsidRPr="00000000">
        <w:rPr>
          <w:rtl w:val="0"/>
        </w:rPr>
      </w:r>
    </w:p>
    <w:p w:rsidR="00000000" w:rsidDel="00000000" w:rsidP="00000000" w:rsidRDefault="00000000" w:rsidRPr="00000000" w14:paraId="00000044">
      <w:pPr>
        <w:numPr>
          <w:ilvl w:val="0"/>
          <w:numId w:val="1"/>
        </w:numPr>
        <w:pBdr>
          <w:top w:color="000000" w:space="1" w:sz="4" w:val="single"/>
          <w:left w:color="000000" w:space="4" w:sz="4" w:val="single"/>
          <w:bottom w:color="000000" w:space="1" w:sz="4" w:val="single"/>
          <w:right w:color="000000" w:space="4" w:sz="4" w:val="single"/>
        </w:pBdr>
        <w:ind w:left="360" w:hanging="360"/>
        <w:rPr>
          <w:sz w:val="22"/>
          <w:szCs w:val="22"/>
        </w:rPr>
      </w:pPr>
      <w:r w:rsidDel="00000000" w:rsidR="00000000" w:rsidRPr="00000000">
        <w:rPr>
          <w:rFonts w:ascii="Calibri" w:cs="Calibri" w:eastAsia="Calibri" w:hAnsi="Calibri"/>
          <w:sz w:val="22"/>
          <w:szCs w:val="22"/>
          <w:rtl w:val="0"/>
        </w:rPr>
        <w:t xml:space="preserve">Students are very proud of their school and were very keen to talk about all aspects of personal development programme. They clearly enjoyed learning and were confident to talk about their favourite subjects and activities. Those interviewed have aspirations and realise how important their education is in helping them achieve their goals.</w:t>
      </w:r>
    </w:p>
    <w:p w:rsidR="00000000" w:rsidDel="00000000" w:rsidP="00000000" w:rsidRDefault="00000000" w:rsidRPr="00000000" w14:paraId="00000045">
      <w:pPr>
        <w:numPr>
          <w:ilvl w:val="0"/>
          <w:numId w:val="1"/>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Students feel the school supports them to develop skills and character traits which will help them in their next educational step and life after school.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Opportunities for social and environmental responsibility are embedded through projects linked to sustainability, recycling and food growing.</w:t>
      </w:r>
    </w:p>
    <w:p w:rsidR="00000000" w:rsidDel="00000000" w:rsidP="00000000" w:rsidRDefault="00000000" w:rsidRPr="00000000" w14:paraId="00000047">
      <w:pPr>
        <w:numPr>
          <w:ilvl w:val="0"/>
          <w:numId w:val="1"/>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Staff have provided, both through the curriculum and other enrichment activities, the opportunities for students to thrive.  Providing additional, bespoke support where necessary, ensures the school’s provision is inclusive.</w:t>
      </w:r>
      <w:r w:rsidDel="00000000" w:rsidR="00000000" w:rsidRPr="00000000">
        <w:rPr>
          <w:rtl w:val="0"/>
        </w:rPr>
      </w:r>
    </w:p>
    <w:p w:rsidR="00000000" w:rsidDel="00000000" w:rsidP="00000000" w:rsidRDefault="00000000" w:rsidRPr="00000000" w14:paraId="00000048">
      <w:pPr>
        <w:numPr>
          <w:ilvl w:val="0"/>
          <w:numId w:val="1"/>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Highly effective leadership has ensured there is a clear distribution of tasks across a wide range of departments.  Because of this, staff feel fully involved in developments towards the award.</w:t>
      </w:r>
      <w:r w:rsidDel="00000000" w:rsidR="00000000" w:rsidRPr="00000000">
        <w:rPr>
          <w:rtl w:val="0"/>
        </w:rPr>
      </w:r>
    </w:p>
    <w:p w:rsidR="00000000" w:rsidDel="00000000" w:rsidP="00000000" w:rsidRDefault="00000000" w:rsidRPr="00000000" w14:paraId="00000049">
      <w:pPr>
        <w:numPr>
          <w:ilvl w:val="0"/>
          <w:numId w:val="1"/>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All stakeholders have contributed to the development of the PD programme which has contributed to the content being very relevant to the needs of students. </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hd w:fill="009999" w:val="clear"/>
        <w:tabs>
          <w:tab w:val="left" w:leader="none" w:pos="2024"/>
        </w:tabs>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Strengths identified during reassessment:</w:t>
      </w: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numPr>
          <w:ilvl w:val="0"/>
          <w:numId w:val="4"/>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sz w:val="22"/>
          <w:szCs w:val="22"/>
          <w:rtl w:val="0"/>
        </w:rPr>
        <w:t xml:space="preserve">The school has undergone significant development, with leaders driving a strong and positive culture across the whole school community. </w:t>
      </w:r>
      <w:r w:rsidDel="00000000" w:rsidR="00000000" w:rsidRPr="00000000">
        <w:rPr>
          <w:rFonts w:ascii="Calibri" w:cs="Calibri" w:eastAsia="Calibri" w:hAnsi="Calibri"/>
          <w:color w:val="000000"/>
          <w:sz w:val="22"/>
          <w:szCs w:val="22"/>
          <w:rtl w:val="0"/>
        </w:rPr>
        <w:t xml:space="preserve">Leaders are reflective practitioners and recognise the importance of personal development to enable students to reach their potential. Aspects of this provision are the bedrock of the school. The personal development is extremely well planned and many other schools would benefit from seeing this programme. </w:t>
      </w:r>
      <w:r w:rsidDel="00000000" w:rsidR="00000000" w:rsidRPr="00000000">
        <w:rPr>
          <w:rtl w:val="0"/>
        </w:rPr>
      </w:r>
    </w:p>
    <w:p w:rsidR="00000000" w:rsidDel="00000000" w:rsidP="00000000" w:rsidRDefault="00000000" w:rsidRPr="00000000" w14:paraId="00000050">
      <w:pPr>
        <w:numPr>
          <w:ilvl w:val="0"/>
          <w:numId w:val="4"/>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sz w:val="22"/>
          <w:szCs w:val="22"/>
          <w:rtl w:val="0"/>
        </w:rPr>
        <w:t xml:space="preserve">The school continues to use the EPDA framework effectively as a diagnostic tool to shape and strengthen the Personal Development offer.</w:t>
      </w:r>
    </w:p>
    <w:p w:rsidR="00000000" w:rsidDel="00000000" w:rsidP="00000000" w:rsidRDefault="00000000" w:rsidRPr="00000000" w14:paraId="00000051">
      <w:pPr>
        <w:numPr>
          <w:ilvl w:val="0"/>
          <w:numId w:val="4"/>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sz w:val="22"/>
          <w:szCs w:val="22"/>
          <w:rtl w:val="0"/>
        </w:rPr>
        <w:t xml:space="preserve">The EPDA co-ordinator, fully supported by school leaders, leads whole-school improvements in relation to personal development. There is clear, positive impact of this superb programme. </w:t>
      </w:r>
    </w:p>
    <w:p w:rsidR="00000000" w:rsidDel="00000000" w:rsidP="00000000" w:rsidRDefault="00000000" w:rsidRPr="00000000" w14:paraId="00000052">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Since the previous verification, leaders have strengthened the ways in which stakeholder views are gathered and acted upon. Regular student, staff and parent/carer voice is collected through surveys and leadership groups. In addition, stakeholder feedback is also discussed at termly Academy Council meetings. Leaders further evaluate impact through follow-up discussions with external providers to inform ongoing improvement.</w:t>
      </w:r>
    </w:p>
    <w:p w:rsidR="00000000" w:rsidDel="00000000" w:rsidP="00000000" w:rsidRDefault="00000000" w:rsidRPr="00000000" w14:paraId="00000053">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 continue to provide bespoke training to strengthen the delivery of personal development. Timetabled PSHEE lessons are taught by Humanities specialists using the Oak Academy curriculum. Tutors act as PD coaches focusing on pastoral care, personal development and character education. Personal development lessons are regularly refined in response to staff, student and parent/carer feedback.</w:t>
      </w:r>
    </w:p>
    <w:p w:rsidR="00000000" w:rsidDel="00000000" w:rsidP="00000000" w:rsidRDefault="00000000" w:rsidRPr="00000000" w14:paraId="00000054">
      <w:pPr>
        <w:numPr>
          <w:ilvl w:val="0"/>
          <w:numId w:val="10"/>
        </w:numPr>
        <w:pBdr>
          <w:top w:color="000000" w:space="1" w:sz="4" w:val="single"/>
          <w:left w:color="000000" w:space="4" w:sz="4" w:val="single"/>
          <w:bottom w:color="000000" w:space="1" w:sz="4" w:val="single"/>
          <w:right w:color="000000" w:space="4" w:sz="4" w:val="single"/>
        </w:pBdr>
        <w:ind w:left="360" w:hanging="360"/>
        <w:rPr>
          <w:sz w:val="22"/>
          <w:szCs w:val="22"/>
        </w:rPr>
      </w:pPr>
      <w:r w:rsidDel="00000000" w:rsidR="00000000" w:rsidRPr="00000000">
        <w:rPr>
          <w:rFonts w:ascii="Calibri" w:cs="Calibri" w:eastAsia="Calibri" w:hAnsi="Calibri"/>
          <w:sz w:val="22"/>
          <w:szCs w:val="22"/>
          <w:rtl w:val="0"/>
        </w:rPr>
        <w:t xml:space="preserve">Core values are embedded throughout all aspects of school life and align closely with the Trust’s maxims, with the PD programme designed to actively promote these principles.</w:t>
      </w:r>
    </w:p>
    <w:p w:rsidR="00000000" w:rsidDel="00000000" w:rsidP="00000000" w:rsidRDefault="00000000" w:rsidRPr="00000000" w14:paraId="00000055">
      <w:pPr>
        <w:keepNext w:val="0"/>
        <w:keepLines w:val="0"/>
        <w:pageBreakBefore w:val="0"/>
        <w:widowControl w:val="1"/>
        <w:numPr>
          <w:ilvl w:val="0"/>
          <w:numId w:val="10"/>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 have established a strong range of high-quality external partnerships to enhance the personal development curriculum and meet the needs of the school community. These partnerships are regularly reviewed to ensure quality.</w:t>
      </w:r>
    </w:p>
    <w:p w:rsidR="00000000" w:rsidDel="00000000" w:rsidP="00000000" w:rsidRDefault="00000000" w:rsidRPr="00000000" w14:paraId="00000056">
      <w:pPr>
        <w:keepNext w:val="0"/>
        <w:keepLines w:val="0"/>
        <w:pageBreakBefore w:val="0"/>
        <w:widowControl w:val="1"/>
        <w:numPr>
          <w:ilvl w:val="0"/>
          <w:numId w:val="10"/>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addition to their academic studies, students take part in a wide range of enrichment activities, educational visits and themed learning days. The carefully planned PSHEE curriculum equips students with the knowledge and understanding needed to thrive in modern Britain and as active members of society.</w:t>
      </w:r>
    </w:p>
    <w:p w:rsidR="00000000" w:rsidDel="00000000" w:rsidP="00000000" w:rsidRDefault="00000000" w:rsidRPr="00000000" w14:paraId="00000057">
      <w:pPr>
        <w:numPr>
          <w:ilvl w:val="0"/>
          <w:numId w:val="10"/>
        </w:numPr>
        <w:pBdr>
          <w:top w:color="000000" w:space="1" w:sz="4" w:val="single"/>
          <w:left w:color="000000" w:space="4" w:sz="4" w:val="single"/>
          <w:bottom w:color="000000" w:space="1" w:sz="4" w:val="single"/>
          <w:right w:color="000000" w:space="4" w:sz="4" w:val="single"/>
        </w:pBdr>
        <w:ind w:left="360" w:hanging="360"/>
        <w:rPr>
          <w:sz w:val="22"/>
          <w:szCs w:val="22"/>
        </w:rPr>
      </w:pPr>
      <w:r w:rsidDel="00000000" w:rsidR="00000000" w:rsidRPr="00000000">
        <w:rPr>
          <w:rFonts w:ascii="Calibri" w:cs="Calibri" w:eastAsia="Calibri" w:hAnsi="Calibri"/>
          <w:sz w:val="22"/>
          <w:szCs w:val="22"/>
          <w:rtl w:val="0"/>
        </w:rPr>
        <w:t xml:space="preserve">The Personal Development learning journey is carefully mapped across all year groups and is underpinned by educational research.</w:t>
      </w:r>
    </w:p>
    <w:p w:rsidR="00000000" w:rsidDel="00000000" w:rsidP="00000000" w:rsidRDefault="00000000" w:rsidRPr="00000000" w14:paraId="00000058">
      <w:pPr>
        <w:keepNext w:val="0"/>
        <w:keepLines w:val="0"/>
        <w:pageBreakBefore w:val="0"/>
        <w:widowControl w:val="1"/>
        <w:numPr>
          <w:ilvl w:val="0"/>
          <w:numId w:val="10"/>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also offers a well-established UCA Mental Health and Therapy Service (MATS), led by qualified professionals who provide DBT and CBT interventions comparable to those delivered through CAMHS.</w:t>
      </w:r>
    </w:p>
    <w:p w:rsidR="00000000" w:rsidDel="00000000" w:rsidP="00000000" w:rsidRDefault="00000000" w:rsidRPr="00000000" w14:paraId="00000059">
      <w:pPr>
        <w:keepNext w:val="0"/>
        <w:keepLines w:val="0"/>
        <w:pageBreakBefore w:val="0"/>
        <w:widowControl w:val="1"/>
        <w:numPr>
          <w:ilvl w:val="0"/>
          <w:numId w:val="6"/>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programme is responsive to local contextual needs. For example, “Stop the Bleed” training has been introduced in response to concerns around knife crime in the local area. </w:t>
      </w:r>
    </w:p>
    <w:p w:rsidR="00000000" w:rsidDel="00000000" w:rsidP="00000000" w:rsidRDefault="00000000" w:rsidRPr="00000000" w14:paraId="0000005A">
      <w:pPr>
        <w:keepNext w:val="0"/>
        <w:keepLines w:val="0"/>
        <w:pageBreakBefore w:val="0"/>
        <w:widowControl w:val="1"/>
        <w:numPr>
          <w:ilvl w:val="0"/>
          <w:numId w:val="6"/>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supported to develop practical life skills, including basic home maintenance and everyday independent living skills.</w:t>
      </w:r>
    </w:p>
    <w:p w:rsidR="00000000" w:rsidDel="00000000" w:rsidP="00000000" w:rsidRDefault="00000000" w:rsidRPr="00000000" w14:paraId="0000005B">
      <w:pPr>
        <w:numPr>
          <w:ilvl w:val="0"/>
          <w:numId w:val="4"/>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sz w:val="22"/>
          <w:szCs w:val="22"/>
          <w:rtl w:val="0"/>
        </w:rPr>
        <w:t xml:space="preserve">There are numerous leadership opportunities available across all year groups, with participation of students, who are disadvantaged or who have an additional need, carefully tracked and monitored.</w:t>
      </w:r>
    </w:p>
    <w:p w:rsidR="00000000" w:rsidDel="00000000" w:rsidP="00000000" w:rsidRDefault="00000000" w:rsidRPr="00000000" w14:paraId="0000005C">
      <w:pPr>
        <w:numPr>
          <w:ilvl w:val="0"/>
          <w:numId w:val="4"/>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sz w:val="22"/>
          <w:szCs w:val="22"/>
          <w:rtl w:val="0"/>
        </w:rPr>
        <w:t xml:space="preserve">Character Education is highly effective and engaging. Initiatives such as the school’s “BINGO” programme help students actively celebrate key character traits.</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Impact:</w:t>
      </w: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64">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The exemplary portfolio reflects and evidences the hard work which has continued since the previous verification. Over time, the actions taken by leaders and staff have had such a positive impact.</w:t>
      </w:r>
      <w:r w:rsidDel="00000000" w:rsidR="00000000" w:rsidRPr="00000000">
        <w:rPr>
          <w:rtl w:val="0"/>
        </w:rPr>
      </w:r>
    </w:p>
    <w:p w:rsidR="00000000" w:rsidDel="00000000" w:rsidP="00000000" w:rsidRDefault="00000000" w:rsidRPr="00000000" w14:paraId="00000065">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Working towards the reassessment has provided the opportunity for leaders to reflect on an already rich provision and continue to build on this.  </w:t>
      </w:r>
      <w:r w:rsidDel="00000000" w:rsidR="00000000" w:rsidRPr="00000000">
        <w:rPr>
          <w:rtl w:val="0"/>
        </w:rPr>
      </w:r>
    </w:p>
    <w:p w:rsidR="00000000" w:rsidDel="00000000" w:rsidP="00000000" w:rsidRDefault="00000000" w:rsidRPr="00000000" w14:paraId="00000066">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Staff fully contribute to the wider life of the school. They are fully committed to developing the skills of students, preparing them for the next phase in their education.</w:t>
      </w:r>
      <w:r w:rsidDel="00000000" w:rsidR="00000000" w:rsidRPr="00000000">
        <w:rPr>
          <w:rtl w:val="0"/>
        </w:rPr>
      </w:r>
    </w:p>
    <w:p w:rsidR="00000000" w:rsidDel="00000000" w:rsidP="00000000" w:rsidRDefault="00000000" w:rsidRPr="00000000" w14:paraId="00000067">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Professional development is a real strength and leaders ensure staffs’ skills are aligned to the ambitious PD programme which has been developed.</w:t>
      </w:r>
      <w:r w:rsidDel="00000000" w:rsidR="00000000" w:rsidRPr="00000000">
        <w:rPr>
          <w:rtl w:val="0"/>
        </w:rPr>
      </w:r>
    </w:p>
    <w:p w:rsidR="00000000" w:rsidDel="00000000" w:rsidP="00000000" w:rsidRDefault="00000000" w:rsidRPr="00000000" w14:paraId="00000068">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Calibri" w:cs="Calibri" w:eastAsia="Calibri" w:hAnsi="Calibri"/>
          <w:color w:val="000000"/>
          <w:sz w:val="22"/>
          <w:szCs w:val="22"/>
          <w:rtl w:val="0"/>
        </w:rPr>
        <w:t xml:space="preserve">Students understand that they can, and do, make a difference. They have a well-developed social conscience.</w:t>
      </w: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hd w:fill="009999" w:val="clear"/>
        <w:rPr>
          <w:rFonts w:ascii="Calibri" w:cs="Calibri" w:eastAsia="Calibri" w:hAnsi="Calibri"/>
          <w:color w:val="ffffff"/>
          <w:sz w:val="22"/>
          <w:szCs w:val="22"/>
        </w:rPr>
      </w:pPr>
      <w:r w:rsidDel="00000000" w:rsidR="00000000" w:rsidRPr="00000000">
        <w:rPr>
          <w:rFonts w:ascii="Calibri" w:cs="Calibri" w:eastAsia="Calibri" w:hAnsi="Calibri"/>
          <w:b w:val="1"/>
          <w:bCs w:val="1"/>
          <w:color w:val="ffffff"/>
          <w:sz w:val="22"/>
          <w:szCs w:val="22"/>
          <w:rtl w:val="0"/>
        </w:rPr>
        <w:t xml:space="preserve">Areas for development:</w:t>
      </w:r>
      <w:r w:rsidDel="00000000" w:rsidR="00000000" w:rsidRPr="00000000">
        <w:rPr>
          <w:rFonts w:ascii="Calibri" w:cs="Calibri" w:eastAsia="Calibri" w:hAnsi="Calibri"/>
          <w:color w:val="ffffff"/>
          <w:sz w:val="22"/>
          <w:szCs w:val="22"/>
          <w:rtl w:val="0"/>
        </w:rPr>
        <w:t xml:space="preserve"> </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hd w:fill="009999" w:val="clear"/>
        <w:rPr>
          <w:rFonts w:ascii="Calibri" w:cs="Calibri" w:eastAsia="Calibri" w:hAnsi="Calibri"/>
          <w:color w:val="ffffff"/>
          <w:sz w:val="22"/>
          <w:szCs w:val="22"/>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28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Trial the use of Life Skills Self-Assessment Wheels across the curriculum to strengthen the monitoring and evaluation of students’ transferable skills development.</w:t>
      </w:r>
    </w:p>
    <w:p w:rsidR="00000000" w:rsidDel="00000000" w:rsidP="00000000" w:rsidRDefault="00000000" w:rsidRPr="00000000" w14:paraId="0000006F">
      <w:pPr>
        <w:keepNext w:val="0"/>
        <w:keepLines w:val="0"/>
        <w:pageBreakBefore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collaboratively with academic teams to explore and implement effective methods for assessing the impact of Personal Development on student outcomes.</w:t>
      </w:r>
    </w:p>
    <w:p w:rsidR="00000000" w:rsidDel="00000000" w:rsidP="00000000" w:rsidRDefault="00000000" w:rsidRPr="00000000" w14:paraId="00000070">
      <w:pPr>
        <w:keepNext w:val="0"/>
        <w:keepLines w:val="0"/>
        <w:pageBreakBefore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28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the nomination of a member of the Academy Council to take on the role of Personal Development Link Governor in order to further strengthen evaluation and strategic oversight.</w:t>
      </w:r>
    </w:p>
    <w:p w:rsidR="00000000" w:rsidDel="00000000" w:rsidP="00000000" w:rsidRDefault="00000000" w:rsidRPr="00000000" w14:paraId="000000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8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Verifier recommendation:</w:t>
      </w:r>
      <w:r w:rsidDel="00000000" w:rsidR="00000000" w:rsidRPr="00000000">
        <w:rPr>
          <w:rFonts w:ascii="Arial" w:cs="Arial" w:eastAsia="Arial" w:hAnsi="Arial"/>
          <w:color w:val="ffffff"/>
          <w:sz w:val="22"/>
          <w:szCs w:val="22"/>
          <w:rtl w:val="0"/>
        </w:rPr>
        <w:t xml:space="preserve"> </w:t>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numPr>
          <w:ilvl w:val="0"/>
          <w:numId w:val="7"/>
        </w:numPr>
        <w:pBdr>
          <w:top w:color="000000" w:space="1" w:sz="4" w:val="single"/>
          <w:left w:color="000000" w:space="4" w:sz="4" w:val="single"/>
          <w:bottom w:color="000000" w:space="1" w:sz="4" w:val="single"/>
          <w:right w:color="000000" w:space="4" w:sz="4" w:val="single"/>
        </w:pBdr>
        <w:ind w:left="360" w:hanging="360"/>
        <w:rPr>
          <w:sz w:val="22"/>
          <w:szCs w:val="22"/>
        </w:rPr>
      </w:pPr>
      <w:r w:rsidDel="00000000" w:rsidR="00000000" w:rsidRPr="00000000">
        <w:rPr>
          <w:rFonts w:ascii="Calibri" w:cs="Calibri" w:eastAsia="Calibri" w:hAnsi="Calibri"/>
          <w:sz w:val="22"/>
          <w:szCs w:val="22"/>
          <w:rtl w:val="0"/>
        </w:rPr>
        <w:t xml:space="preserve">Lift Unity City to be awarded the EPDA Award for a further three years.</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Principal comments:</w:t>
      </w:r>
      <w:r w:rsidDel="00000000" w:rsidR="00000000" w:rsidRPr="00000000">
        <w:rPr>
          <w:rFonts w:ascii="Arial" w:cs="Arial" w:eastAsia="Arial" w:hAnsi="Arial"/>
          <w:color w:val="ffffff"/>
          <w:sz w:val="22"/>
          <w:szCs w:val="22"/>
          <w:rtl w:val="0"/>
        </w:rPr>
        <w:t xml:space="preserve"> </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hd w:fill="009999" w:val="clear"/>
        <w:rPr>
          <w:rFonts w:ascii="Arial" w:cs="Arial" w:eastAsia="Arial" w:hAnsi="Arial"/>
          <w:color w:val="ffffff"/>
          <w:sz w:val="22"/>
          <w:szCs w:val="22"/>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Fonts w:ascii="Arial" w:cs="Arial" w:eastAsia="Arial" w:hAnsi="Arial"/>
          <w:sz w:val="22"/>
          <w:szCs w:val="22"/>
          <w:rtl w:val="0"/>
        </w:rPr>
        <w:t xml:space="preserve">We are incredibly proud of the continued development of Personal Development at Lift Unity City and are delighted that the strength of our provision has been recognised through this reassessment. This outcome reflects the dedication of our staff, students, families and wider community, who work together to ensure every student is supported to thrive both academically and personally. We remain committed to building on this success and continuing to provide meaningful opportunities that prepare our young people for life beyond school.</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tabs>
          <w:tab w:val="left" w:leader="none" w:pos="906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tabs>
          <w:tab w:val="left" w:leader="none" w:pos="9060"/>
        </w:tabs>
        <w:rPr>
          <w:rFonts w:ascii="Arial" w:cs="Arial" w:eastAsia="Arial" w:hAnsi="Arial"/>
          <w:sz w:val="22"/>
          <w:szCs w:val="22"/>
        </w:rPr>
      </w:pPr>
      <w:r w:rsidDel="00000000" w:rsidR="00000000" w:rsidRPr="00000000">
        <w:rPr>
          <w:rFonts w:ascii="Arial" w:cs="Arial" w:eastAsia="Arial" w:hAnsi="Arial"/>
          <w:sz w:val="22"/>
          <w:szCs w:val="22"/>
          <w:rtl w:val="0"/>
        </w:rPr>
        <w:t xml:space="preserve">May we use your comment for website/marketing purposes?   </w:t>
      </w:r>
      <w:r w:rsidDel="00000000" w:rsidR="00000000" w:rsidRPr="00000000">
        <w:rPr>
          <w:rFonts w:ascii="Arial" w:cs="Arial" w:eastAsia="Arial" w:hAnsi="Arial"/>
          <w:b w:val="1"/>
          <w:bCs w:val="1"/>
          <w:sz w:val="22"/>
          <w:szCs w:val="22"/>
          <w:rtl w:val="0"/>
        </w:rPr>
        <w:t xml:space="preserve">Yes / No</w:t>
      </w:r>
      <w:r w:rsidDel="00000000" w:rsidR="00000000" w:rsidRPr="00000000">
        <w:rPr>
          <w:rFonts w:ascii="Arial" w:cs="Arial" w:eastAsia="Arial" w:hAnsi="Arial"/>
          <w:sz w:val="22"/>
          <w:szCs w:val="22"/>
          <w:rtl w:val="0"/>
        </w:rPr>
        <w:t xml:space="preserve"> (please delete)</w:t>
      </w:r>
    </w:p>
    <w:sectPr>
      <w:headerReference r:id="rId6" w:type="default"/>
      <w:headerReference r:id="rId7" w:type="first"/>
      <w:headerReference r:id="rId8" w:type="even"/>
      <w:footerReference r:id="rId9" w:type="default"/>
      <w:pgSz w:h="16838" w:w="11906" w:orient="portrait"/>
      <w:pgMar w:bottom="1440" w:top="1440" w:left="1440" w:right="1440" w:header="709"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Arial"/>
  <w:font w:name="Georgia"/>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Copyright Optimus Education 2024        </w:t>
      <w:tab/>
      <w:tab/>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1727200" cy="47752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27200" cy="47752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Pr>
      <w:pict>
        <v:shape id="WordPictureWatermark1" style="position:absolute;width:595.2999212598424pt;height:841.9pt;rotation:0;z-index:-503316481;mso-position-horizontal-relative:margin;mso-position-horizontal:center;mso-position-vertical-relative:margin;mso-position-vertical:center;" alt="" type="#_x0000_t75">
          <v:imagedata cropbottom="0f" cropleft="0f" cropright="0f" croptop="0f" r:id="rId1"/>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3657600</wp:posOffset>
          </wp:positionH>
          <wp:positionV relativeFrom="paragraph">
            <wp:posOffset>-236853</wp:posOffset>
          </wp:positionV>
          <wp:extent cx="2163445" cy="5264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3445" cy="52641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Pr>
      <w:pict>
        <v:shape id="WordPictureWatermark2" style="position:absolute;width:595.2999212598424pt;height:841.9pt;rotation:0;z-index:-503316481;mso-position-horizontal-relative:margin;mso-position-horizontal:center;mso-position-vertical-relative:margin;mso-position-vertical:center;" alt="" type="#_x0000_t75">
          <v:imagedata cropbottom="0f" cropleft="0f" cropright="0f" croptop="0f" r:id="rId1"/>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pPr>
    <w:rPr>
      <w:rFonts w:ascii="Arial" w:cs="Arial" w:eastAsia="Arial" w:hAnsi="Arial"/>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nul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